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480" w:line="240" w:lineRule="auto"/>
        <w:ind w:right="0"/>
        <w:jc w:val="left"/>
        <w:rPr>
          <w:b w:val="1"/>
          <w:sz w:val="24"/>
          <w:szCs w:val="24"/>
        </w:rPr>
      </w:pPr>
      <w:r w:rsidDel="00000000" w:rsidR="00000000" w:rsidRPr="00000000">
        <w:rPr>
          <w:b w:val="1"/>
          <w:sz w:val="24"/>
          <w:szCs w:val="24"/>
          <w:rtl w:val="0"/>
        </w:rPr>
        <w:t xml:space="preserve">La carga de Metadatos en OJS: una revisión práctica (16 de agosto 2023)</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480" w:line="240" w:lineRule="auto"/>
        <w:ind w:right="0"/>
        <w:jc w:val="left"/>
        <w:rPr>
          <w:b w:val="1"/>
          <w:sz w:val="24"/>
          <w:szCs w:val="24"/>
        </w:rPr>
      </w:pPr>
      <w:r w:rsidDel="00000000" w:rsidR="00000000" w:rsidRPr="00000000">
        <w:rPr>
          <w:b w:val="1"/>
          <w:sz w:val="24"/>
          <w:szCs w:val="24"/>
          <w:rtl w:val="0"/>
        </w:rPr>
        <w:t xml:space="preserve">The Loading of Metadata into OJS: A Practical Review</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480" w:line="240" w:lineRule="auto"/>
        <w:ind w:right="0"/>
        <w:jc w:val="left"/>
        <w:rPr>
          <w:sz w:val="24"/>
          <w:szCs w:val="24"/>
        </w:rPr>
      </w:pPr>
      <w:r w:rsidDel="00000000" w:rsidR="00000000" w:rsidRPr="00000000">
        <w:rPr>
          <w:b w:val="1"/>
          <w:sz w:val="24"/>
          <w:szCs w:val="24"/>
          <w:rtl w:val="0"/>
        </w:rPr>
        <w:t xml:space="preserve">Autores: </w:t>
      </w:r>
      <w:r w:rsidDel="00000000" w:rsidR="00000000" w:rsidRPr="00000000">
        <w:rPr>
          <w:sz w:val="24"/>
          <w:szCs w:val="24"/>
          <w:rtl w:val="0"/>
        </w:rPr>
        <w:t xml:space="preserve">Gabriel García Márquez</w:t>
      </w:r>
    </w:p>
    <w:p w:rsidR="00000000" w:rsidDel="00000000" w:rsidP="00000000" w:rsidRDefault="00000000" w:rsidRPr="00000000" w14:paraId="0000000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480" w:line="240" w:lineRule="auto"/>
        <w:ind w:left="0" w:right="0" w:firstLine="0"/>
        <w:jc w:val="both"/>
        <w:rPr>
          <w:b w:val="1"/>
          <w:i w:val="0"/>
          <w:smallCaps w:val="0"/>
          <w:strike w:val="0"/>
          <w:color w:val="000000"/>
          <w:sz w:val="24"/>
          <w:szCs w:val="24"/>
          <w:shd w:fill="auto" w:val="clear"/>
          <w:vertAlign w:val="baseline"/>
        </w:rPr>
      </w:pPr>
      <w:r w:rsidDel="00000000" w:rsidR="00000000" w:rsidRPr="00000000">
        <w:rPr>
          <w:b w:val="1"/>
          <w:sz w:val="24"/>
          <w:szCs w:val="24"/>
          <w:rtl w:val="0"/>
        </w:rPr>
        <w:t xml:space="preserve">Resumen</w:t>
      </w:r>
    </w:p>
    <w:p w:rsidR="00000000" w:rsidDel="00000000" w:rsidP="00000000" w:rsidRDefault="00000000" w:rsidRPr="00000000" w14:paraId="00000005">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4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La carga de metadatos en OJS es un proceso muy importante paera la adecuada indexación y recuperación de los mismos. Este resumen de prueba está diseñado con el fin de que se pueda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utilizar en los contextos de capacitaci</w:t>
      </w:r>
      <w:r w:rsidDel="00000000" w:rsidR="00000000" w:rsidRPr="00000000">
        <w:rPr>
          <w:sz w:val="24"/>
          <w:szCs w:val="24"/>
          <w:rtl w:val="0"/>
        </w:rPr>
        <w:t xml:space="preserve">ón e ilustrar el correcto cargue de los metadatos, responsabilidad compartida entre autor, editor y todos los partícipes del proceso editorial en OJS.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Palabras clave: </w:t>
      </w:r>
      <w:r w:rsidDel="00000000" w:rsidR="00000000" w:rsidRPr="00000000">
        <w:rPr>
          <w:sz w:val="24"/>
          <w:szCs w:val="24"/>
          <w:rtl w:val="0"/>
        </w:rPr>
        <w:t xml:space="preserve">OJS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Metadatos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Capacitación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editorial.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The loading of metadata into OJS is a very important process for proper indexing and retrieval. This test summary is designed to be used in training contexts and to illustrate the proper loading of metadata, a responsibility shared by the author, publisher, and all participants in the OJS publishing process.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b w:val="1"/>
          <w:sz w:val="24"/>
          <w:szCs w:val="24"/>
          <w:rtl w:val="0"/>
        </w:rPr>
        <w:t xml:space="preserve">Key words:</w:t>
      </w:r>
      <w:r w:rsidDel="00000000" w:rsidR="00000000" w:rsidRPr="00000000">
        <w:rPr>
          <w:sz w:val="24"/>
          <w:szCs w:val="24"/>
          <w:rtl w:val="0"/>
        </w:rPr>
        <w:t xml:space="preserve"> OJS, Metadata, Training, editorial.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Tertius Europae sinus Acrocerauniis incipit montibus, finitur Hellesponto, amplectitur praeter minores sinus |XIX|:XXV passuum. in eo Epirus, Acarnania, Aetolia, Phocis, Locris, Achaia, Messenia, Laconica, Argolis, Megaris, Attice, Boeotia iterumque ab ealio mari eadem Macedonia, Thracia. omnis Graeciae fabulositas sicut et litterarum claritas ex hoc primum sinu effulsit, quapropter paululum in eo conmorabimur.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Epiros in universum appellata a Cerauniis incipit montibus. in ea primi Chaones, a quibus Chaonia, dein Thesproti, Antigonenses, locus Aornos et pestifera avibus exhalatio, Cestrini, Perrhaebi, quorum mons Pindus, Cassopaei, Dryopes, Selloe, Hellopes, Molossi, apud quos Dodonaei Iovis templum oraculo inlustre, Talarus mons, centum fontibus circa radices Theopompo celebratus.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Epiros ipsa, ad Magnesiam Macedoniamque tendens, a tergo suo Dassaretas supra dictos, liberam gentem, mox feram Dardanos habet. Dardanis laevo Triballi praetendentur latere et Moesicae gentes, a fronte iunguntur Maedi ac Denselatae, quibus Threces ad Pontum usque pertinentes. ita succincta Rhodopes, mox et Haemi, vallatur excelsitas.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 Epiri ora castellum in Acrocerauniis Chimera, sub eo Aquae Regiae fons, oppida Maeandria, Cestria, flumen Thesprotiae Thyamis, colonia Buthrotum, maximeque nobilitatus Ambracius sinus, D passuum faucibus spatiosum aequor accipiens, longitudinis XXXVII, latitudinis XV. in eum defertur amnis Acheron, e lacu Thesprotias Acherusia profluens XXXV passuum inde et mille pedum ponte mirabilis omnia sua mirantibus. in sinu oppidum Ambracia. Molossorum flumina Aphas, Aratthus, civitas Anactorica, locus Pandosia.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Acarnaniae, quae antea Curetis vocabatur, oppida Hercalia, Echinus et in ore ipso colonia Augusti Actium cum templo Apollinis nobili ac civitate libera Nicopolitana. egressos sinu Ambracio in Ionium excipit Leucadium litus, promunturium Leucates, dein sinus et Leucadia ipsa paeninsula, quondam Neritis appellata, opere accolarum abscisa continenti ac reddita venturum flatu congeriem harenae adtumulantium, qui locus vocatur Dioryctos stadiorum longitudine trium. oppidum in ea Leucas, quondam Neritum dictum. deinde Acarnanum urbes Alyzia, Stratos, Argos Amphilochium cognominatum. amnis Achelous e Pindo fluens Acarnaniam ab Aetolia dirimens et Artemitam insulam adsiduo terrae invectu continenti adnectens.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Aetolorum populi Athamanes, Tymphaei, Ephyri, Aenienses, Perrhaebi, Dolopes, Maraces, Atraces, a quibus Atrax amnis Ionio mari infunditur. Aetoliae oppidum Calydon est VII:D passuum a mari iuxta euenum amnem. dein Macynia, Molycria, cuius a tergo Chalcis mons et Taphiassus. at in ora promunturium Antirrhium, ubi ostium Corinthiaci sinus minus M p. latitudine influentis Aetolosque dirimentis a Peloponneso. promunturium quod contra procedit appellatur Rhion. sed in Corinthio ainu oppida Aetoliae Naupactus, Eupalimna et in mediterraneo Pleuron, Halicarna, montes clari in Dodone Tomarus, in Ambracia Crauia, in Acarnania Aracynthus, in Aetolia Achaton, Panaetolium, Macynium.</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Proximi Aetolis Locri cognominantur Ozolae, immunes. oppidum Oeanthe, portus Apollinis Phaesti, sinus Crisaeus, intus oppida Argyna, Eupalia, Phaestum, Calamisus. ultra Cirrhaei Phocidis campi, oppidum Cirrha, portus Chalaeon, a quo VII p. introrsus liberum oppidum Delphi sub monte Parnaso, clarissimi in terris oraculi Apollinis.</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Materiales y métodos.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sz w:val="24"/>
          <w:szCs w:val="24"/>
          <w:rtl w:val="0"/>
        </w:rPr>
        <w:t xml:space="preserve">Tertius Europae sinus Acrocerauniis incipit montibus, finitur Hellesponto, amplectitur praeter minores sinus |XIX|:XXV passuum. in eo Epirus, Acarnania, Aetolia, Phocis, Locris, Achaia, Messenia, Laconica, Argolis, Megaris, Attice, Boeotia iterumque ab ealio mari eadem Macedonia, Thracia. omnis Graeciae fabulositas sicut et litterarum claritas ex hoc primum sinu effulsit, quapropter paululum in eo conmorabimur.</w:t>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sz w:val="24"/>
          <w:szCs w:val="24"/>
        </w:rPr>
      </w:pPr>
      <w:r w:rsidDel="00000000" w:rsidR="00000000" w:rsidRPr="00000000">
        <w:rPr>
          <w:sz w:val="24"/>
          <w:szCs w:val="24"/>
          <w:rtl w:val="0"/>
        </w:rPr>
        <w:t xml:space="preserve">Epiros in universum appellata a Cerauniis incipit montibus. in ea primi Chaones, a quibus Chaonia, dein Thesproti, Antigonenses, locus Aornos et pestifera avibus exhalatio, Cestrini, Perrhaebi, quorum mons Pindus, Cassopaei, Dryopes, Selloe, Hellopes, Molossi, apud quos Dodonaei Iovis templum oraculo inlustre, Talarus mons, centum fontibus circa radices Theopompo celebratus.</w:t>
      </w:r>
    </w:p>
    <w:p w:rsidR="00000000" w:rsidDel="00000000" w:rsidP="00000000" w:rsidRDefault="00000000" w:rsidRPr="00000000" w14:paraId="00000026">
      <w:pPr>
        <w:pageBreakBefore w:val="0"/>
        <w:rPr>
          <w:sz w:val="24"/>
          <w:szCs w:val="24"/>
        </w:rPr>
      </w:pP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sz w:val="24"/>
          <w:szCs w:val="24"/>
          <w:rtl w:val="0"/>
        </w:rPr>
        <w:t xml:space="preserve">Epiros ipsa, ad Magnesiam Macedoniamque tendens, a tergo suo Dassaretas supra dictos, liberam gentem, mox feram Dardanos habet. Dardanis laevo Triballi praetendentur latere et Moesicae gentes, a fronte iunguntur Maedi ac Denselatae, quibus Threces ad Pontum usque pertinentes. ita succincta Rhodopes, mox et Haemi, vallatur excelsitas.</w:t>
      </w:r>
    </w:p>
    <w:p w:rsidR="00000000" w:rsidDel="00000000" w:rsidP="00000000" w:rsidRDefault="00000000" w:rsidRPr="00000000" w14:paraId="00000028">
      <w:pPr>
        <w:pageBreakBefore w:val="0"/>
        <w:rPr>
          <w:sz w:val="24"/>
          <w:szCs w:val="24"/>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in Epiri ora castellum in Acrocerauniis Chimera, sub eo Aquae Regiae fons, oppida Maeandria, Cestria, flumen Thesprotiae Thyamis, colonia Buthrotum, maximeque nobilitatus Ambracius sinus, D passuum faucibus spatiosum aequor accipiens, longitudinis XXXVII, latitudinis XV. in eum defertur amnis Acheron, e lacu Thesprotias Acherusia profluens XXXV passuum inde et mille pedum ponte mirabilis omnia sua mirantibus. in sinu oppidum Ambracia. Molossorum flumina Aphas, Aratthus, civitas Anactorica, locus Pandosia.</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sz w:val="24"/>
          <w:szCs w:val="24"/>
        </w:rPr>
      </w:pPr>
      <w:r w:rsidDel="00000000" w:rsidR="00000000" w:rsidRPr="00000000">
        <w:rPr>
          <w:sz w:val="24"/>
          <w:szCs w:val="24"/>
          <w:rtl w:val="0"/>
        </w:rPr>
        <w:t xml:space="preserve">Acarnaniae, quae antea Curetis vocabatur, oppida Hercalia, Echinus et in ore ipso colonia Augusti Actium cum templo Apollinis nobili ac civitate libera Nicopolitana. egressos sinu Ambracio in Ionium excipit Leucadium litus, promunturium Leucates, dein sinus et Leucadia ipsa paeninsula, quondam Neritis appellata, opere accolarum abscisa continenti ac reddita venturum flatu congeriem harenae adtumulantium, qui locus vocatur Dioryctos stadiorum longitudine trium. oppidum in ea Leucas, quondam Neritum dictum. deinde Acarnanum urbes Alyzia, Stratos, Argos Amphilochium cognominatum. amnis Achelous e Pindo fluens Acarnaniam ab Aetolia dirimens et Artemitam insulam adsiduo terrae invectu continenti adnectens.</w:t>
      </w:r>
    </w:p>
    <w:p w:rsidR="00000000" w:rsidDel="00000000" w:rsidP="00000000" w:rsidRDefault="00000000" w:rsidRPr="00000000" w14:paraId="0000002C">
      <w:pPr>
        <w:pageBreakBefore w:val="0"/>
        <w:rPr>
          <w:sz w:val="24"/>
          <w:szCs w:val="24"/>
        </w:rPr>
      </w:pPr>
      <w:r w:rsidDel="00000000" w:rsidR="00000000" w:rsidRPr="00000000">
        <w:rPr>
          <w:rtl w:val="0"/>
        </w:rPr>
      </w:r>
    </w:p>
    <w:p w:rsidR="00000000" w:rsidDel="00000000" w:rsidP="00000000" w:rsidRDefault="00000000" w:rsidRPr="00000000" w14:paraId="0000002D">
      <w:pPr>
        <w:pageBreakBefore w:val="0"/>
        <w:rPr>
          <w:sz w:val="24"/>
          <w:szCs w:val="24"/>
        </w:rPr>
      </w:pPr>
      <w:r w:rsidDel="00000000" w:rsidR="00000000" w:rsidRPr="00000000">
        <w:rPr>
          <w:sz w:val="24"/>
          <w:szCs w:val="24"/>
          <w:rtl w:val="0"/>
        </w:rPr>
        <w:t xml:space="preserve">Aetolorum populi Athamanes, Tymphaei, Ephyri, Aenienses, Perrhaebi, Dolopes, Maraces, Atraces, a quibus Atrax amnis Ionio mari infunditur. Aetoliae oppidum Calydon est VII:D passuum a mari iuxta euenum amnem. dein Macynia, Molycria, cuius a tergo Chalcis mons et Taphiassus. at in ora promunturium Antirrhium, ubi ostium Corinthiaci sinus minus M p. latitudine influentis Aetolosque dirimentis a Peloponneso. promunturium quod contra procedit appellatur Rhion. sed in Corinthio ainu oppida Aetoliae Naupactus, Eupalimna et in mediterraneo Pleuron, Halicarna, montes clari in Dodone Tomarus, in Ambracia Crauia, in Acarnania Aracynthus, in Aetolia Achaton, Panaetolium, Macynium.</w:t>
      </w:r>
    </w:p>
    <w:p w:rsidR="00000000" w:rsidDel="00000000" w:rsidP="00000000" w:rsidRDefault="00000000" w:rsidRPr="00000000" w14:paraId="0000002E">
      <w:pPr>
        <w:pageBreakBefore w:val="0"/>
        <w:rPr>
          <w:sz w:val="24"/>
          <w:szCs w:val="24"/>
        </w:rPr>
      </w:pPr>
      <w:r w:rsidDel="00000000" w:rsidR="00000000" w:rsidRPr="00000000">
        <w:rPr>
          <w:rtl w:val="0"/>
        </w:rPr>
      </w:r>
    </w:p>
    <w:p w:rsidR="00000000" w:rsidDel="00000000" w:rsidP="00000000" w:rsidRDefault="00000000" w:rsidRPr="00000000" w14:paraId="0000002F">
      <w:pPr>
        <w:pageBreakBefore w:val="0"/>
        <w:rPr>
          <w:sz w:val="24"/>
          <w:szCs w:val="24"/>
        </w:rPr>
      </w:pPr>
      <w:r w:rsidDel="00000000" w:rsidR="00000000" w:rsidRPr="00000000">
        <w:rPr>
          <w:sz w:val="24"/>
          <w:szCs w:val="24"/>
          <w:rtl w:val="0"/>
        </w:rPr>
        <w:t xml:space="preserve">Proximi Aetolis Locri cognominantur Ozolae, immunes. oppidum Oeanthe, portus Apollinis Phaesti, sinus Crisaeus, intus oppida Argyna, Eupalia, Phaestum, Calamisus. ultra Cirrhaei Phocidis campi, oppidum Cirrha, portus Chalaeon, a quo VII p. introrsus liberum oppidum Delphi sub monte Parnaso, clarissimi in terris oraculi Apollinis.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Resultados y discusión.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07.0" w:type="dxa"/>
        <w:jc w:val="left"/>
        <w:tblInd w:w="-108.0" w:type="dxa"/>
        <w:tblLayout w:type="fixed"/>
        <w:tblLook w:val="0000"/>
      </w:tblPr>
      <w:tblGrid>
        <w:gridCol w:w="2278"/>
        <w:gridCol w:w="2693"/>
        <w:gridCol w:w="1985"/>
        <w:gridCol w:w="2751"/>
        <w:tblGridChange w:id="0">
          <w:tblGrid>
            <w:gridCol w:w="2278"/>
            <w:gridCol w:w="2693"/>
            <w:gridCol w:w="1985"/>
            <w:gridCol w:w="2751"/>
          </w:tblGrid>
        </w:tblGridChange>
      </w:tblGrid>
      <w:tr>
        <w:trPr>
          <w:cantSplit w:val="0"/>
          <w:trHeight w:val="293" w:hRule="atLeast"/>
          <w:tblHeader w:val="0"/>
        </w:trPr>
        <w:tc>
          <w:tcPr>
            <w:gridSpan w:val="4"/>
            <w:vMerge w:val="restart"/>
            <w:shd w:fill="auto"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gridSpan w:val="4"/>
            <w:vMerge w:val="continue"/>
            <w:shd w:fill="auto"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r>
      <w:tr>
        <w:trPr>
          <w:cantSplit w:val="0"/>
          <w:trHeight w:val="293" w:hRule="atLeast"/>
          <w:tblHeader w:val="0"/>
        </w:trPr>
        <w:tc>
          <w:tcPr>
            <w:gridSpan w:val="4"/>
            <w:vMerge w:val="continue"/>
            <w:shd w:fill="auto" w:val="clea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r>
      <w:tr>
        <w:trPr>
          <w:cantSplit w:val="0"/>
          <w:trHeight w:val="308" w:hRule="atLeast"/>
          <w:tblHeader w:val="0"/>
        </w:trPr>
        <w:tc>
          <w:tcPr>
            <w:tcBorders>
              <w:right w:color="7f7f7f" w:space="0" w:sz="4" w:val="single"/>
            </w:tcBorders>
            <w:shd w:fill="f2f2f2"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 w:hRule="atLeast"/>
          <w:tblHeader w:val="0"/>
        </w:trPr>
        <w:tc>
          <w:tcPr>
            <w:tcBorders>
              <w:right w:color="7f7f7f" w:space="0" w:sz="4" w:val="single"/>
            </w:tcBorders>
            <w:shd w:fill="auto"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right w:color="7f7f7f" w:space="0" w:sz="4" w:val="single"/>
            </w:tcBorders>
            <w:shd w:fill="f2f2f2"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 w:hRule="atLeast"/>
          <w:tblHeader w:val="0"/>
        </w:trPr>
        <w:tc>
          <w:tcPr>
            <w:tcBorders>
              <w:right w:color="7f7f7f" w:space="0" w:sz="4" w:val="single"/>
            </w:tcBorders>
            <w:shd w:fill="auto"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 w:hRule="atLeast"/>
          <w:tblHeader w:val="0"/>
        </w:trPr>
        <w:tc>
          <w:tcPr>
            <w:tcBorders>
              <w:right w:color="7f7f7f" w:space="0" w:sz="4" w:val="single"/>
            </w:tcBorders>
            <w:shd w:fill="f2f2f2"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 w:hRule="atLeast"/>
          <w:tblHeader w:val="0"/>
        </w:trPr>
        <w:tc>
          <w:tcPr>
            <w:tcBorders>
              <w:right w:color="7f7f7f" w:space="0" w:sz="4" w:val="single"/>
            </w:tcBorders>
            <w:shd w:fill="auto"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1" w:hRule="atLeast"/>
          <w:tblHeader w:val="0"/>
        </w:trPr>
        <w:tc>
          <w:tcPr>
            <w:tcBorders>
              <w:right w:color="7f7f7f" w:space="0" w:sz="4" w:val="single"/>
            </w:tcBorders>
            <w:shd w:fill="f2f2f2"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f2f2f2"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right w:color="7f7f7f" w:space="0" w:sz="4" w:val="single"/>
            </w:tcBorders>
            <w:shd w:fill="auto"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Conclusiones.</w:t>
      </w:r>
    </w:p>
    <w:p w:rsidR="00000000" w:rsidDel="00000000" w:rsidP="00000000" w:rsidRDefault="00000000" w:rsidRPr="00000000" w14:paraId="00000061">
      <w:pPr>
        <w:pageBreakBefore w:val="0"/>
        <w:rPr>
          <w:sz w:val="24"/>
          <w:szCs w:val="24"/>
        </w:rPr>
      </w:pPr>
      <w:r w:rsidDel="00000000" w:rsidR="00000000" w:rsidRPr="00000000">
        <w:rPr>
          <w:sz w:val="24"/>
          <w:szCs w:val="24"/>
          <w:rtl w:val="0"/>
        </w:rPr>
        <w:t xml:space="preserve">Tertius Europae sinus Acrocerauniis incipit montibus, finitur Hellesponto, amplectitur praeter minores sinus |XIX|:XXV passuum. in eo Epirus, Acarnania, Aetolia, Phocis, Locris, Achaia, Messenia, Laconica, Argolis, Megaris, Attice, Boeotia iterumque ab ealio mari eadem Macedonia, Thracia. omnis Graeciae fabulositas sicut et litterarum claritas ex hoc primum sinu effulsit, quapropter paululum in eo conmorabimur.</w:t>
      </w:r>
    </w:p>
    <w:p w:rsidR="00000000" w:rsidDel="00000000" w:rsidP="00000000" w:rsidRDefault="00000000" w:rsidRPr="00000000" w14:paraId="00000062">
      <w:pPr>
        <w:pageBreakBefore w:val="0"/>
        <w:rPr>
          <w:sz w:val="24"/>
          <w:szCs w:val="24"/>
        </w:rPr>
      </w:pPr>
      <w:r w:rsidDel="00000000" w:rsidR="00000000" w:rsidRPr="00000000">
        <w:rPr>
          <w:rtl w:val="0"/>
        </w:rPr>
      </w:r>
    </w:p>
    <w:p w:rsidR="00000000" w:rsidDel="00000000" w:rsidP="00000000" w:rsidRDefault="00000000" w:rsidRPr="00000000" w14:paraId="00000063">
      <w:pPr>
        <w:pageBreakBefore w:val="0"/>
        <w:rPr>
          <w:sz w:val="24"/>
          <w:szCs w:val="24"/>
        </w:rPr>
      </w:pPr>
      <w:r w:rsidDel="00000000" w:rsidR="00000000" w:rsidRPr="00000000">
        <w:rPr>
          <w:sz w:val="24"/>
          <w:szCs w:val="24"/>
          <w:rtl w:val="0"/>
        </w:rPr>
        <w:t xml:space="preserve">Epiros in universum appellata a Cerauniis incipit montibus. in ea primi Chaones, a quibus Chaonia, dein Thesproti, Antigonenses, locus Aornos et pestifera avibus exhalatio, Cestrini, Perrhaebi, quorum mons Pindus, Cassopaei, Dryopes, Selloe, Hellopes, Molossi, apud quos Dodonaei Iovis templum oraculo inlustre, Talarus mons, centum fontibus circa radices Theopompo celebratus.</w:t>
      </w:r>
    </w:p>
    <w:p w:rsidR="00000000" w:rsidDel="00000000" w:rsidP="00000000" w:rsidRDefault="00000000" w:rsidRPr="00000000" w14:paraId="00000064">
      <w:pPr>
        <w:pageBreakBefore w:val="0"/>
        <w:rPr>
          <w:sz w:val="24"/>
          <w:szCs w:val="24"/>
        </w:rPr>
      </w:pPr>
      <w:r w:rsidDel="00000000" w:rsidR="00000000" w:rsidRPr="00000000">
        <w:rPr>
          <w:rtl w:val="0"/>
        </w:rPr>
      </w:r>
    </w:p>
    <w:p w:rsidR="00000000" w:rsidDel="00000000" w:rsidP="00000000" w:rsidRDefault="00000000" w:rsidRPr="00000000" w14:paraId="00000065">
      <w:pPr>
        <w:pageBreakBefore w:val="0"/>
        <w:rPr>
          <w:sz w:val="24"/>
          <w:szCs w:val="24"/>
        </w:rPr>
      </w:pPr>
      <w:r w:rsidDel="00000000" w:rsidR="00000000" w:rsidRPr="00000000">
        <w:rPr>
          <w:sz w:val="24"/>
          <w:szCs w:val="24"/>
          <w:rtl w:val="0"/>
        </w:rPr>
        <w:t xml:space="preserve">Epiros ipsa, ad Magnesiam Macedoniamque tendens, a tergo suo Dassaretas supra dictos, liberam gentem, mox feram Dardanos habet. Dardanis laevo Triballi praetendentur latere et Moesicae gentes, a fronte iunguntur Maedi ac Denselatae, quibus Threces ad Pontum usque pertinentes. ita succincta Rhodopes, mox et Haemi, vallatur excelsitas.</w:t>
      </w:r>
    </w:p>
    <w:p w:rsidR="00000000" w:rsidDel="00000000" w:rsidP="00000000" w:rsidRDefault="00000000" w:rsidRPr="00000000" w14:paraId="00000066">
      <w:pPr>
        <w:pageBreakBefore w:val="0"/>
        <w:rPr>
          <w:sz w:val="24"/>
          <w:szCs w:val="24"/>
        </w:rPr>
      </w:pPr>
      <w:r w:rsidDel="00000000" w:rsidR="00000000" w:rsidRPr="00000000">
        <w:rPr>
          <w:rtl w:val="0"/>
        </w:rPr>
      </w:r>
    </w:p>
    <w:p w:rsidR="00000000" w:rsidDel="00000000" w:rsidP="00000000" w:rsidRDefault="00000000" w:rsidRPr="00000000" w14:paraId="00000067">
      <w:pPr>
        <w:pageBreakBefore w:val="0"/>
        <w:rPr>
          <w:sz w:val="24"/>
          <w:szCs w:val="24"/>
        </w:rPr>
      </w:pPr>
      <w:r w:rsidDel="00000000" w:rsidR="00000000" w:rsidRPr="00000000">
        <w:rPr>
          <w:sz w:val="24"/>
          <w:szCs w:val="24"/>
          <w:rtl w:val="0"/>
        </w:rPr>
        <w:t xml:space="preserve">in Epiri ora castellum in Acrocerauniis Chimera, sub eo Aquae Regiae fons, oppida Maeandria, Cestria, flumen Thesprotiae Thyamis, colonia Buthrotum, maximeque nobilitatus Ambracius sinus, D passuum faucibus spatiosum aequor accipiens, longitudinis XXXVII, latitudinis XV. in eum defertur amnis Acheron, e lacu Thesprotias Acherusia profluens XXXV passuum inde et mille pedum ponte mirabilis omnia sua mirantibus. in sinu oppidum Ambracia. Molossorum flumina Aphas, Aratthus, civitas Anactorica, locus Pandosia.</w:t>
      </w:r>
    </w:p>
    <w:p w:rsidR="00000000" w:rsidDel="00000000" w:rsidP="00000000" w:rsidRDefault="00000000" w:rsidRPr="00000000" w14:paraId="00000068">
      <w:pPr>
        <w:pageBreakBefore w:val="0"/>
        <w:rPr>
          <w:sz w:val="24"/>
          <w:szCs w:val="24"/>
        </w:rPr>
      </w:pPr>
      <w:r w:rsidDel="00000000" w:rsidR="00000000" w:rsidRPr="00000000">
        <w:rPr>
          <w:rtl w:val="0"/>
        </w:rPr>
      </w:r>
    </w:p>
    <w:p w:rsidR="00000000" w:rsidDel="00000000" w:rsidP="00000000" w:rsidRDefault="00000000" w:rsidRPr="00000000" w14:paraId="00000069">
      <w:pPr>
        <w:pageBreakBefore w:val="0"/>
        <w:rPr>
          <w:sz w:val="24"/>
          <w:szCs w:val="24"/>
        </w:rPr>
      </w:pPr>
      <w:r w:rsidDel="00000000" w:rsidR="00000000" w:rsidRPr="00000000">
        <w:rPr>
          <w:sz w:val="24"/>
          <w:szCs w:val="24"/>
          <w:rtl w:val="0"/>
        </w:rPr>
        <w:t xml:space="preserve">Acarnaniae, quae antea Curetis vocabatur, oppida Hercalia, Echinus et in ore ipso colonia Augusti Actium cum templo Apollinis nobili ac civitate libera Nicopolitana. egressos sinu Ambracio in Ionium excipit Leucadium litus, promunturium Leucates, dein sinus et Leucadia ipsa paeninsula, quondam Neritis appellata, opere accolarum abscisa continenti ac reddita venturum flatu congeriem harenae adtumulantium, qui locus vocatur Dioryctos stadiorum longitudine trium. oppidum in ea Leucas, quondam Neritum dictum. deinde Acarnanum urbes Alyzia, Stratos, Argos Amphilochium cognominatum. amnis Achelous e Pindo fluens Acarnaniam ab Aetolia dirimens et Artemitam insulam adsiduo terrae invectu continenti adnectens.</w:t>
      </w:r>
    </w:p>
    <w:p w:rsidR="00000000" w:rsidDel="00000000" w:rsidP="00000000" w:rsidRDefault="00000000" w:rsidRPr="00000000" w14:paraId="0000006A">
      <w:pPr>
        <w:pageBreakBefore w:val="0"/>
        <w:rPr>
          <w:sz w:val="24"/>
          <w:szCs w:val="24"/>
        </w:rPr>
      </w:pPr>
      <w:r w:rsidDel="00000000" w:rsidR="00000000" w:rsidRPr="00000000">
        <w:rPr>
          <w:rtl w:val="0"/>
        </w:rPr>
      </w:r>
    </w:p>
    <w:p w:rsidR="00000000" w:rsidDel="00000000" w:rsidP="00000000" w:rsidRDefault="00000000" w:rsidRPr="00000000" w14:paraId="0000006B">
      <w:pPr>
        <w:pageBreakBefore w:val="0"/>
        <w:rPr>
          <w:sz w:val="24"/>
          <w:szCs w:val="24"/>
        </w:rPr>
      </w:pPr>
      <w:r w:rsidDel="00000000" w:rsidR="00000000" w:rsidRPr="00000000">
        <w:rPr>
          <w:sz w:val="24"/>
          <w:szCs w:val="24"/>
          <w:rtl w:val="0"/>
        </w:rPr>
        <w:t xml:space="preserve">Aetolorum populi Athamanes, Tymphaei, Ephyri, Aenienses, Perrhaebi, Dolopes, Maraces, Atraces, a quibus Atrax amnis Ionio mari infunditur. Aetoliae oppidum Calydon est VII:D passuum a mari iuxta euenum amnem. dein Macynia, Molycria, cuius a tergo Chalcis mons et Taphiassus. at in ora promunturium Antirrhium, ubi ostium Corinthiaci sinus minus M p. latitudine influentis Aetolosque dirimentis a Peloponneso. promunturium quod contra procedit appellatur Rhion. sed in Corinthio ainu oppida Aetoliae Naupactus, Eupalimna et in mediterraneo Pleuron, Halicarna, montes clari in Dodone Tomarus, in Ambracia Crauia, in Acarnania Aracynthus, in Aetolia Achaton, Panaetolium, Macynium.</w:t>
      </w:r>
    </w:p>
    <w:p w:rsidR="00000000" w:rsidDel="00000000" w:rsidP="00000000" w:rsidRDefault="00000000" w:rsidRPr="00000000" w14:paraId="0000006C">
      <w:pPr>
        <w:pageBreakBefore w:val="0"/>
        <w:rPr>
          <w:sz w:val="24"/>
          <w:szCs w:val="24"/>
        </w:rPr>
      </w:pPr>
      <w:r w:rsidDel="00000000" w:rsidR="00000000" w:rsidRPr="00000000">
        <w:rPr>
          <w:rtl w:val="0"/>
        </w:rPr>
      </w:r>
    </w:p>
    <w:p w:rsidR="00000000" w:rsidDel="00000000" w:rsidP="00000000" w:rsidRDefault="00000000" w:rsidRPr="00000000" w14:paraId="0000006D">
      <w:pPr>
        <w:pageBreakBefore w:val="0"/>
        <w:rPr>
          <w:sz w:val="24"/>
          <w:szCs w:val="24"/>
        </w:rPr>
      </w:pPr>
      <w:r w:rsidDel="00000000" w:rsidR="00000000" w:rsidRPr="00000000">
        <w:rPr>
          <w:sz w:val="24"/>
          <w:szCs w:val="24"/>
          <w:rtl w:val="0"/>
        </w:rPr>
        <w:t xml:space="preserve">Proximi Aetolis Locri cognominantur Ozolae, immunes. oppidum Oeanthe, portus Apollinis Phaesti, sinus Crisaeus, intus oppida Argyna, Eupalia, Phaestum, Calamisus. ultra Cirrhaei Phocidis campi, oppidum Cirrha, portus Chalaeon, a quo VII p. introrsus liberum oppidum Delphi sub monte Parnaso, clarissimi in terris oraculi Apollinis.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highlight w:val="yellow"/>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Bibliografía</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C., Kulovits, H., Guttenbrunner, M., Strodl, S., Rauber, A., &amp; Hofman, H. (2009). Systematic planning for digital preservation: evaluating potential strategies and building preservation plans. International Journal on Digital Libraries, 10(4), 133–157.</w:t>
      </w:r>
    </w:p>
    <w:p w:rsidR="00000000" w:rsidDel="00000000" w:rsidP="00000000" w:rsidRDefault="00000000" w:rsidRPr="00000000" w14:paraId="00000076">
      <w:pPr>
        <w:pageBreakBefore w:val="0"/>
        <w:widowControl w:val="0"/>
        <w:ind w:left="709" w:firstLine="0"/>
        <w:rPr>
          <w:sz w:val="24"/>
          <w:szCs w:val="24"/>
        </w:rPr>
      </w:pPr>
      <w:r w:rsidDel="00000000" w:rsidR="00000000" w:rsidRPr="00000000">
        <w:rPr>
          <w:sz w:val="24"/>
          <w:szCs w:val="24"/>
          <w:rtl w:val="0"/>
        </w:rPr>
        <w:tab/>
        <w:tab/>
      </w:r>
    </w:p>
    <w:p w:rsidR="00000000" w:rsidDel="00000000" w:rsidP="00000000" w:rsidRDefault="00000000" w:rsidRPr="00000000" w14:paraId="00000077">
      <w:pPr>
        <w:pageBreakBefore w:val="0"/>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Burnhill, P. (2013). Tales from the keepers registry: Serial issues about archiving &amp; the web. Serials Review, 39(1), 3–20.</w:t>
      </w:r>
    </w:p>
    <w:p w:rsidR="00000000" w:rsidDel="00000000" w:rsidP="00000000" w:rsidRDefault="00000000" w:rsidRPr="00000000" w14:paraId="00000078">
      <w:pPr>
        <w:pageBreakBefore w:val="0"/>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Chanod, J., Dobreva, M., Rauber, A., Ross, S., &amp; Casarosa, V. (2010). Issues in digital preservation: towards a new research agenda. Automation in Digital Preservation, 1–14. </w:t>
      </w:r>
    </w:p>
    <w:p w:rsidR="00000000" w:rsidDel="00000000" w:rsidP="00000000" w:rsidRDefault="00000000" w:rsidRPr="00000000" w14:paraId="0000007A">
      <w:pPr>
        <w:pageBreakBefore w:val="0"/>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7B">
      <w:pPr>
        <w:pageBreakBefore w:val="0"/>
        <w:widowControl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Strodl, S., Becker, C., Neumayer, R., &amp; Rauber, A. (2007). How to choose a digital preservation strategy: Evaluating a preservation planning procedure (pp. 29–38). Presented at the Proceedings of the 7th ACM/IEEE-CS joint conference on Digital libraries, ACM.</w:t>
        <w:tab/>
        <w:tab/>
        <w:tab/>
        <w:tab/>
      </w:r>
    </w:p>
    <w:p w:rsidR="00000000" w:rsidDel="00000000" w:rsidP="00000000" w:rsidRDefault="00000000" w:rsidRPr="00000000" w14:paraId="0000007C">
      <w:pPr>
        <w:pageBreakBefore w:val="0"/>
        <w:widowControl w:val="0"/>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Yin, R. K. (2013). Case study research: Design and methods. Sage publications. </w:t>
      </w:r>
    </w:p>
    <w:p w:rsidR="00000000" w:rsidDel="00000000" w:rsidP="00000000" w:rsidRDefault="00000000" w:rsidRPr="00000000" w14:paraId="0000007D">
      <w:pPr>
        <w:pageBreakBefore w:val="0"/>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p>
    <w:p w:rsidR="00000000" w:rsidDel="00000000" w:rsidP="00000000" w:rsidRDefault="00000000" w:rsidRPr="00000000" w14:paraId="0000007E">
      <w:pPr>
        <w:pageBreakBefore w:val="0"/>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7F">
      <w:pPr>
        <w:pageBreakBefore w:val="0"/>
        <w:widowControl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80">
      <w:pPr>
        <w:pageBreakBefore w:val="0"/>
        <w:widowControl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widowControl w:val="0"/>
        <w:ind w:left="709" w:firstLine="0"/>
        <w:rPr>
          <w:sz w:val="24"/>
          <w:szCs w:val="24"/>
        </w:rPr>
      </w:pPr>
      <w:r w:rsidDel="00000000" w:rsidR="00000000" w:rsidRPr="00000000">
        <w:rPr>
          <w:sz w:val="24"/>
          <w:szCs w:val="24"/>
          <w:rtl w:val="0"/>
        </w:rPr>
        <w:tab/>
        <w:tab/>
        <w:tab/>
        <w:tab/>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sz w:val="24"/>
          <w:szCs w:val="24"/>
        </w:rPr>
      </w:pPr>
      <w:r w:rsidDel="00000000" w:rsidR="00000000" w:rsidRPr="00000000">
        <w:rPr>
          <w:sz w:val="24"/>
          <w:szCs w:val="24"/>
          <w:rtl w:val="0"/>
        </w:rPr>
        <w:tab/>
        <w:tab/>
        <w:tab/>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sz w:val="24"/>
          <w:szCs w:val="24"/>
        </w:rPr>
      </w:pPr>
      <w:r w:rsidDel="00000000" w:rsidR="00000000" w:rsidRPr="00000000">
        <w:rPr>
          <w:sz w:val="24"/>
          <w:szCs w:val="24"/>
          <w:rtl w:val="0"/>
        </w:rPr>
        <w:tab/>
        <w:tab/>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footerReference r:id="rId6" w:type="default"/>
      <w:pgSz w:h="15840" w:w="12240" w:orient="portrait"/>
      <w:pgMar w:bottom="1418" w:top="709" w:left="1701" w:right="1418"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5600700</wp:posOffset>
              </wp:positionH>
              <wp:positionV relativeFrom="paragraph">
                <wp:posOffset>0</wp:posOffset>
              </wp:positionV>
              <wp:extent cx="189230" cy="194310"/>
              <wp:effectExtent b="0" l="0" r="0" t="0"/>
              <wp:wrapTopAndBottom distB="0" distT="0"/>
              <wp:docPr id="1" name=""/>
              <a:graphic>
                <a:graphicData uri="http://schemas.microsoft.com/office/word/2010/wordprocessingShape">
                  <wps:wsp>
                    <wps:cNvSpPr/>
                    <wps:cNvPr id="2" name="Shape 2"/>
                    <wps:spPr>
                      <a:xfrm>
                        <a:off x="5260910" y="3692370"/>
                        <a:ext cx="170180" cy="1752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21</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5600700</wp:posOffset>
              </wp:positionH>
              <wp:positionV relativeFrom="paragraph">
                <wp:posOffset>0</wp:posOffset>
              </wp:positionV>
              <wp:extent cx="189230" cy="19431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89230" cy="19431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